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C9DA10">
      <w:pPr>
        <w:rPr>
          <w:rFonts w:hint="default" w:ascii="Times New Roman" w:hAnsi="Times New Roman"/>
          <w:b w:val="0"/>
          <w:bCs w:val="0"/>
          <w:i w:val="0"/>
          <w:iCs w:val="0"/>
          <w:u w:val="none"/>
          <w:lang w:val="ru-RU"/>
        </w:rPr>
      </w:pPr>
      <w:r>
        <w:rPr>
          <w:rFonts w:ascii="Times New Roman" w:hAnsi="Times New Roman" w:cs="Times New Roman"/>
        </w:rPr>
        <w:t>Прокур</w:t>
      </w:r>
      <w:r>
        <w:rPr>
          <w:rFonts w:ascii="Times New Roman" w:hAnsi="Times New Roman" w:cs="Times New Roman"/>
          <w:lang w:val="ru-RU"/>
        </w:rPr>
        <w:t>атура</w:t>
      </w:r>
      <w:r>
        <w:rPr>
          <w:rFonts w:hint="default"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Балтачевского района разъясняет:</w:t>
      </w:r>
    </w:p>
    <w:p w14:paraId="54A0407E">
      <w:pPr>
        <w:jc w:val="both"/>
        <w:rPr>
          <w:rFonts w:hint="default" w:ascii="Times New Roman" w:hAnsi="Times New Roman" w:cs="Times New Roman"/>
          <w:b/>
          <w:bCs/>
        </w:rPr>
      </w:pPr>
      <w:bookmarkStart w:id="0" w:name="_GoBack"/>
      <w:r>
        <w:rPr>
          <w:rFonts w:hint="default" w:ascii="Times New Roman" w:hAnsi="Times New Roman" w:cs="Times New Roman"/>
          <w:b/>
          <w:bCs/>
        </w:rPr>
        <w:t>Об установлении признаков неиспользования земельных участков из состава земель населенных пунктов, садовых земельных участков и огородных земельных участков</w:t>
      </w:r>
    </w:p>
    <w:bookmarkEnd w:id="0"/>
    <w:p w14:paraId="500E311B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</w:rPr>
        <w:t>Постановление Правительства РФ от 31.05.2025 №826 «Об установлении признаков неиспользования земельных участков из состава земель населённых пунктов, садовых земельных участков и огородных земельных участков» вступит в силу с 1 сентября 2025 года и будет действовать до 1 сентября 2031 года</w:t>
      </w:r>
      <w:r>
        <w:rPr>
          <w:rFonts w:hint="default" w:ascii="Times New Roman" w:hAnsi="Times New Roman"/>
          <w:b w:val="0"/>
          <w:bCs w:val="0"/>
          <w:lang w:val="ru-RU"/>
        </w:rPr>
        <w:t>.</w:t>
      </w:r>
    </w:p>
    <w:p w14:paraId="0BDA4F2D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В перечне таких признаков:</w:t>
      </w:r>
    </w:p>
    <w:p w14:paraId="213464DE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- захламление более чем 50 процентов площади земельного участка предметами, не связанными с его использованием в соответствии с целевым назначением и разрешенным использованием, или загрязнение указанной площади земельного участка отходами производства и потребления, в том числе твердыми коммунальными отходами;</w:t>
      </w:r>
    </w:p>
    <w:p w14:paraId="7359EAAC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- отсутствие на земельном участке, предназначенном для индивидуального жилищного строительства, в течение 7 и более лет индивидуального жилого дома, право на который зарегистрировано в соответствии с законом, за исключением случаев, если судом установлено, что правообладатель земельного участка не смог завершить строительство индивидуального жилого дома в связи с действиями (бездействием) органов государственной власти, органов местного самоуправления или лиц, осуществляющих эксплуатацию сетей инженерно-технического обеспечения, к которым должен быть подключен (технологически присоединен) индивидуальный жилой дом;</w:t>
      </w:r>
    </w:p>
    <w:p w14:paraId="4EA866E0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- наличие на земельном участке не являющихся самовольными постройками зданий, сооружений, у которых в совокупности разрушены крыша, стены, отсутствуют окна или стекла на окнах, при условии что правообладатель земельного участка не приступил к выполнению работ по устранению указанных обстоятельств в течение одного года и более со дня их выявления, за исключением случаев, когда такие объекты капитального строительства признаны аварийными и подлежащими сносу или реконструкции.</w:t>
      </w:r>
    </w:p>
    <w:p w14:paraId="19D8CA6F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Признаки неиспользования земельных участков из состава земель населенных пунктов, садовых земельных участков и огородных земельных участков, утвержденные настоящим постановлением, не применяются в случае, если на основании судебного акта или акта уполномоченного органа наложен арест, запрет на использование земельного участка в соответствии с его целевым назначением и (или) разрешенным использованием, а также в течение времени, когда земельный участок не мог быть использован по целевому назначению из-за стихийных бедствий или ввиду иных обстоятельств, исключающих такое использование.</w:t>
      </w:r>
    </w:p>
    <w:p w14:paraId="240D60EB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Изъятие неосвоенного земельного участка, как и ранее, останется крайней мерой. Автоматического изъятия не произойдет даже при нарушении трехлетнего срока освоения.</w:t>
      </w:r>
    </w:p>
    <w:p w14:paraId="58A611A4">
      <w:pPr>
        <w:jc w:val="both"/>
        <w:rPr>
          <w:rFonts w:hint="default" w:ascii="Times New Roman" w:hAnsi="Times New Roman"/>
          <w:b w:val="0"/>
          <w:bCs w:val="0"/>
          <w:lang w:val="ru-RU"/>
        </w:rPr>
      </w:pPr>
    </w:p>
    <w:p w14:paraId="3C876784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Если в ходе государственного земельного контроля (надзора) государственный инспектор Росреестра выявит, что земельный участок не используется по целевому назначению по окончании срока освоения, с учётом установленных постановлением Правительства РФ сроков неиспользования, собственнику будет вручено предписание об устранении нарушения в установленные сроки. При наличии уважительных причин этот срок можно будет продлить.</w:t>
      </w:r>
    </w:p>
    <w:p w14:paraId="6436092A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В случае игнорирования предписания и несоблюдения установленного срока, Росреестр уведомит соответствующий орган государственной власти или местного самоуправления. Эти органы могут подать в суд с просьбой об изъятии земельного участка из-за ненадлежащего использования и о его продаже на публичных торгах.</w:t>
      </w:r>
    </w:p>
    <w:p w14:paraId="12E0881F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После изъятия земельного участка, средства, полученные от продажи на публичных торгах, будут выплачены бывшему собственнику за вычетом расходов на подготовку и проведение торгов.</w:t>
      </w:r>
    </w:p>
    <w:p w14:paraId="3487758C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Государственные органы никогда не ставили цель изъять участок из частной собственности. Основная задача мартовских поправок - мотивировать граждан возвращаться к неиспользуемым земельным участкам и принимать решения о их использовании или продаже, если они больше не нужны.</w:t>
      </w:r>
      <w:r>
        <w:rPr>
          <w:rFonts w:hint="default" w:ascii="Times New Roman" w:hAnsi="Times New Roman"/>
          <w:b w:val="0"/>
          <w:bCs w:val="0"/>
          <w:lang w:val="ru-RU"/>
        </w:rPr>
        <w:tab/>
      </w:r>
    </w:p>
    <w:p w14:paraId="017CBB71">
      <w:pPr>
        <w:jc w:val="both"/>
        <w:rPr>
          <w:rFonts w:hint="default" w:ascii="Times New Roman" w:hAnsi="Times New Roman"/>
          <w:b w:val="0"/>
          <w:bCs w:val="0"/>
          <w:lang w:val="ru-RU"/>
        </w:rPr>
      </w:pPr>
    </w:p>
    <w:p w14:paraId="1A07E533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Настоящее постановление действует до 1 сентября 2031 г.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T Sans">
    <w:panose1 w:val="020B0503020203020204"/>
    <w:charset w:val="00"/>
    <w:family w:val="auto"/>
    <w:pitch w:val="default"/>
    <w:sig w:usb0="A00002EF" w:usb1="5000204B" w:usb2="00000020" w:usb3="00000000" w:csb0="20000097" w:csb1="00000000"/>
  </w:font>
  <w:font w:name="Garamond">
    <w:panose1 w:val="02020404030301010803"/>
    <w:charset w:val="00"/>
    <w:family w:val="auto"/>
    <w:pitch w:val="default"/>
    <w:sig w:usb0="00000287" w:usb1="00000000" w:usb2="00000000" w:usb3="00000000" w:csb0="000000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2D3A7F"/>
    <w:rsid w:val="7C2D3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2025-06-25T06:42:00Z</dcterms:created>
  <dc:creator>Дениза Харисова</dc:creator>
  <cp:lastModifiedBy>Дениза Харисова</cp:lastModifiedBy>
  <dcterms:modified xsi:type="dcterms:W3CDTF">2025-06-25T09:08:50Z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A226D2C436684EF58AC3B1D04A161EEB_11</vt:lpwstr>
  </property>
</Properties>
</file>